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46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9"/>
        <w:gridCol w:w="1958"/>
        <w:gridCol w:w="845"/>
        <w:gridCol w:w="3481"/>
        <w:gridCol w:w="4677"/>
      </w:tblGrid>
      <w:tr w:rsidR="00812715" w:rsidRPr="001351A9" w14:paraId="5CBF8B7B" w14:textId="77777777" w:rsidTr="001C21AE">
        <w:trPr>
          <w:trHeight w:hRule="exact" w:val="586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7A41C" w14:textId="4413184B" w:rsidR="00812715" w:rsidRPr="001351A9" w:rsidRDefault="00812715" w:rsidP="00A57947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POZİSYON</w:t>
            </w:r>
          </w:p>
        </w:tc>
      </w:tr>
      <w:tr w:rsidR="00A57947" w:rsidRPr="001351A9" w14:paraId="312102C6" w14:textId="77777777" w:rsidTr="001C21AE">
        <w:trPr>
          <w:trHeight w:hRule="exact" w:val="58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7CB92" w14:textId="77777777" w:rsidR="00A57947" w:rsidRPr="001351A9" w:rsidRDefault="00A57947" w:rsidP="00A57947">
            <w:pPr>
              <w:widowControl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</w:rPr>
            </w:pPr>
            <w:r w:rsidRPr="001351A9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Hassas Görevler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59918D" w14:textId="77777777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51A9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Hassas Görevi Olan Personel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31D58C" w14:textId="77777777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51A9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Risk Düzeyi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DA1122" w14:textId="77777777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51A9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Görevin Yerine Getirilmeme Sonucu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024D0" w14:textId="4F91B79E" w:rsidR="00A57947" w:rsidRPr="001351A9" w:rsidRDefault="00A57947" w:rsidP="00A5794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51A9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 xml:space="preserve"> (Alınması Gereken Önlemler veya Kontroller)</w:t>
            </w:r>
          </w:p>
        </w:tc>
      </w:tr>
      <w:tr w:rsidR="00A57947" w:rsidRPr="001351A9" w14:paraId="70BA84A8" w14:textId="77777777" w:rsidTr="001C21AE">
        <w:trPr>
          <w:trHeight w:hRule="exact" w:val="1117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43D25" w14:textId="11449D43" w:rsidR="00A57947" w:rsidRPr="001351A9" w:rsidRDefault="003F5C3D" w:rsidP="00E829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Hukuki Görüş Verilmesi Süreci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A9EC4" w14:textId="56E6D50B" w:rsidR="00A57947" w:rsidRPr="001351A9" w:rsidRDefault="003F5C3D" w:rsidP="00E82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Birim Personeli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99561" w14:textId="04289F88" w:rsidR="00A57947" w:rsidRPr="001351A9" w:rsidRDefault="003F5C3D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C3D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46B5A" w14:textId="52A3C4F5" w:rsidR="00A57947" w:rsidRPr="001351A9" w:rsidRDefault="003F5C3D" w:rsidP="003F5C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C3D">
              <w:rPr>
                <w:rFonts w:ascii="Times New Roman" w:eastAsia="Times New Roman" w:hAnsi="Times New Roman" w:cs="Times New Roman"/>
              </w:rPr>
              <w:t>İdare hak ve menfaatlerinde kayıp,</w:t>
            </w:r>
            <w:r w:rsidR="0094770B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C3D">
              <w:rPr>
                <w:rFonts w:ascii="Times New Roman" w:eastAsia="Times New Roman" w:hAnsi="Times New Roman" w:cs="Times New Roman"/>
              </w:rPr>
              <w:t>hukuki veya cezai sorumluluk, kamu zararı,</w:t>
            </w:r>
            <w:r w:rsidR="0094770B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C3D">
              <w:rPr>
                <w:rFonts w:ascii="Times New Roman" w:eastAsia="Times New Roman" w:hAnsi="Times New Roman" w:cs="Times New Roman"/>
              </w:rPr>
              <w:t>güven,</w:t>
            </w:r>
            <w:r w:rsidR="0094770B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C3D">
              <w:rPr>
                <w:rFonts w:ascii="Times New Roman" w:eastAsia="Times New Roman" w:hAnsi="Times New Roman" w:cs="Times New Roman"/>
              </w:rPr>
              <w:t>zaman ve itibar kaybı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2F9E" w14:textId="5F8ECA43" w:rsidR="00A57947" w:rsidRPr="001351A9" w:rsidRDefault="003F5C3D" w:rsidP="003F5C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C3D">
              <w:rPr>
                <w:rFonts w:ascii="Times New Roman" w:eastAsia="Times New Roman" w:hAnsi="Times New Roman" w:cs="Times New Roman"/>
              </w:rPr>
              <w:t xml:space="preserve">Birimlerden gelen görüş, inceleme ve mütalaa taleplerine yönelik mevzuat ve güncel yargı kararlarının </w:t>
            </w:r>
            <w:r w:rsidR="0094770B" w:rsidRPr="003F5C3D">
              <w:rPr>
                <w:rFonts w:ascii="Times New Roman" w:eastAsia="Times New Roman" w:hAnsi="Times New Roman" w:cs="Times New Roman"/>
              </w:rPr>
              <w:t>araştırılması, varılan</w:t>
            </w:r>
            <w:r w:rsidRPr="003F5C3D">
              <w:rPr>
                <w:rFonts w:ascii="Times New Roman" w:eastAsia="Times New Roman" w:hAnsi="Times New Roman" w:cs="Times New Roman"/>
              </w:rPr>
              <w:t xml:space="preserve"> kanaat ve sonuçların ilgili </w:t>
            </w:r>
            <w:r w:rsidR="0094770B" w:rsidRPr="003F5C3D">
              <w:rPr>
                <w:rFonts w:ascii="Times New Roman" w:eastAsia="Times New Roman" w:hAnsi="Times New Roman" w:cs="Times New Roman"/>
              </w:rPr>
              <w:t>birime iletilmesi</w:t>
            </w:r>
            <w:r w:rsidRPr="003F5C3D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A57947" w:rsidRPr="001351A9" w14:paraId="1EF82A76" w14:textId="77777777" w:rsidTr="001C21AE">
        <w:trPr>
          <w:trHeight w:hRule="exact" w:val="168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00D14" w14:textId="7360D57A" w:rsidR="00A57947" w:rsidRPr="001351A9" w:rsidRDefault="003F5C3D" w:rsidP="00E829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C3D">
              <w:rPr>
                <w:rFonts w:ascii="Times New Roman" w:eastAsia="Times New Roman" w:hAnsi="Times New Roman" w:cs="Times New Roman"/>
              </w:rPr>
              <w:t>Mahkeme İşlemleri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28F68" w14:textId="7203A62F" w:rsidR="00A57947" w:rsidRPr="001351A9" w:rsidRDefault="003F5C3D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Birim Personeli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46C24" w14:textId="49F047D8" w:rsidR="00A57947" w:rsidRPr="001351A9" w:rsidRDefault="003F5C3D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C3D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54F02" w14:textId="57567BD7" w:rsidR="00A57947" w:rsidRPr="001351A9" w:rsidRDefault="0094770B" w:rsidP="0094770B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</w:rPr>
            </w:pPr>
            <w:r w:rsidRPr="0094770B">
              <w:rPr>
                <w:rFonts w:ascii="Times New Roman" w:eastAsia="Times New Roman" w:hAnsi="Times New Roman" w:cs="Times New Roman"/>
              </w:rPr>
              <w:t>İdare hak ve menfaatlerinde kayıp,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770B">
              <w:rPr>
                <w:rFonts w:ascii="Times New Roman" w:eastAsia="Times New Roman" w:hAnsi="Times New Roman" w:cs="Times New Roman"/>
              </w:rPr>
              <w:t>hukuki veya cezai sorumluluk, kamu zararı,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770B">
              <w:rPr>
                <w:rFonts w:ascii="Times New Roman" w:eastAsia="Times New Roman" w:hAnsi="Times New Roman" w:cs="Times New Roman"/>
              </w:rPr>
              <w:t>güven,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770B">
              <w:rPr>
                <w:rFonts w:ascii="Times New Roman" w:eastAsia="Times New Roman" w:hAnsi="Times New Roman" w:cs="Times New Roman"/>
              </w:rPr>
              <w:t>zaman ve itibar kaybı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FFDC" w14:textId="45C7BB16" w:rsidR="009016DD" w:rsidRDefault="0094770B" w:rsidP="00947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770B">
              <w:rPr>
                <w:rFonts w:ascii="Times New Roman" w:eastAsia="Times New Roman" w:hAnsi="Times New Roman" w:cs="Times New Roman"/>
              </w:rPr>
              <w:t>Mahkemelere yönelik iş ve işlemlerin zamanında yerine getirilmesi için gerekli bilgi ve belgelerin ilgili birimlerden temini, bu süreçte görevli personeli süreç hakkında bilgilendirme ve yönlendirme ile geri bilgilendirme yoluyla iç</w:t>
            </w:r>
            <w:r w:rsidR="009016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64E6D4" w14:textId="0B7346AD" w:rsidR="00A57947" w:rsidRPr="001351A9" w:rsidRDefault="0094770B" w:rsidP="00947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4770B">
              <w:rPr>
                <w:rFonts w:ascii="Times New Roman" w:eastAsia="Times New Roman" w:hAnsi="Times New Roman" w:cs="Times New Roman"/>
              </w:rPr>
              <w:t>denetim</w:t>
            </w:r>
            <w:proofErr w:type="gramEnd"/>
            <w:r w:rsidRPr="0094770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57947" w:rsidRPr="001351A9" w14:paraId="45B054D7" w14:textId="77777777" w:rsidTr="001C21AE">
        <w:trPr>
          <w:trHeight w:hRule="exact" w:val="1421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1A35F" w14:textId="3D049A34" w:rsidR="00A57947" w:rsidRPr="001351A9" w:rsidRDefault="003F5C3D" w:rsidP="00E829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C3D">
              <w:rPr>
                <w:rFonts w:ascii="Times New Roman" w:eastAsia="Times New Roman" w:hAnsi="Times New Roman" w:cs="Times New Roman"/>
              </w:rPr>
              <w:t>İcra İşlemleri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53752" w14:textId="110B4B0B" w:rsidR="00A57947" w:rsidRPr="001351A9" w:rsidRDefault="003F5C3D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Birim Personeli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82D64" w14:textId="4328AE6F" w:rsidR="00A57947" w:rsidRPr="001351A9" w:rsidRDefault="003F5C3D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C3D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21EAE" w14:textId="1B988474" w:rsidR="00A57947" w:rsidRPr="001351A9" w:rsidRDefault="0094770B" w:rsidP="00947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770B">
              <w:rPr>
                <w:rFonts w:ascii="Times New Roman" w:eastAsia="Times New Roman" w:hAnsi="Times New Roman" w:cs="Times New Roman"/>
              </w:rPr>
              <w:t>İdare hak ve menfaatlerinde kayıp,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770B">
              <w:rPr>
                <w:rFonts w:ascii="Times New Roman" w:eastAsia="Times New Roman" w:hAnsi="Times New Roman" w:cs="Times New Roman"/>
              </w:rPr>
              <w:t>hukuki veya cezai sorumluluk, kamu zararı,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770B">
              <w:rPr>
                <w:rFonts w:ascii="Times New Roman" w:eastAsia="Times New Roman" w:hAnsi="Times New Roman" w:cs="Times New Roman"/>
              </w:rPr>
              <w:t>güven,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770B">
              <w:rPr>
                <w:rFonts w:ascii="Times New Roman" w:eastAsia="Times New Roman" w:hAnsi="Times New Roman" w:cs="Times New Roman"/>
              </w:rPr>
              <w:t>zaman ve itibar kaybı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F2BE" w14:textId="7CAB48A4" w:rsidR="00A57947" w:rsidRPr="001351A9" w:rsidRDefault="0094770B" w:rsidP="00947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770B">
              <w:rPr>
                <w:rFonts w:ascii="Times New Roman" w:eastAsia="Times New Roman" w:hAnsi="Times New Roman" w:cs="Times New Roman"/>
              </w:rPr>
              <w:t>İcra Dairelerine yönelik iş ve işlemlerin zamanında yerine getirilmesi için gerekli bilgi ve belgelerin temini,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770B">
              <w:rPr>
                <w:rFonts w:ascii="Times New Roman" w:eastAsia="Times New Roman" w:hAnsi="Times New Roman" w:cs="Times New Roman"/>
              </w:rPr>
              <w:t>bu süreçte görevli personeli süreç hakkında bilgilendirme ve yönlendirme ile geri bilgilendirme yoluyla iç denetim.</w:t>
            </w:r>
          </w:p>
        </w:tc>
      </w:tr>
      <w:tr w:rsidR="00A57947" w:rsidRPr="001351A9" w14:paraId="403DBB67" w14:textId="77777777" w:rsidTr="001C21AE">
        <w:trPr>
          <w:trHeight w:hRule="exact" w:val="985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39293" w14:textId="51A199EB" w:rsidR="00A57947" w:rsidRPr="001351A9" w:rsidRDefault="003F5C3D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C3D">
              <w:rPr>
                <w:rFonts w:ascii="Times New Roman" w:eastAsia="Times New Roman" w:hAnsi="Times New Roman" w:cs="Times New Roman"/>
              </w:rPr>
              <w:t>Tebligat İşlemleri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ADC68" w14:textId="794AA31C" w:rsidR="00A57947" w:rsidRPr="001351A9" w:rsidRDefault="003F5C3D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Birim Personeli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654CE" w14:textId="6FD46073" w:rsidR="00A57947" w:rsidRPr="001351A9" w:rsidRDefault="003F5C3D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C3D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2033" w14:textId="44989F63" w:rsidR="00A57947" w:rsidRPr="001351A9" w:rsidRDefault="0094770B" w:rsidP="00947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770B">
              <w:rPr>
                <w:rFonts w:ascii="Times New Roman" w:eastAsia="Times New Roman" w:hAnsi="Times New Roman" w:cs="Times New Roman"/>
              </w:rPr>
              <w:t>İdare hak ve menfaatlerinde kayıp,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770B">
              <w:rPr>
                <w:rFonts w:ascii="Times New Roman" w:eastAsia="Times New Roman" w:hAnsi="Times New Roman" w:cs="Times New Roman"/>
              </w:rPr>
              <w:t xml:space="preserve">hukuki veya cezai sorumluluk, kamu </w:t>
            </w:r>
            <w:proofErr w:type="gramStart"/>
            <w:r w:rsidRPr="0094770B">
              <w:rPr>
                <w:rFonts w:ascii="Times New Roman" w:eastAsia="Times New Roman" w:hAnsi="Times New Roman" w:cs="Times New Roman"/>
              </w:rPr>
              <w:t>zararı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770B">
              <w:rPr>
                <w:rFonts w:ascii="Times New Roman" w:eastAsia="Times New Roman" w:hAnsi="Times New Roman" w:cs="Times New Roman"/>
              </w:rPr>
              <w:t>,güven</w:t>
            </w:r>
            <w:proofErr w:type="gramEnd"/>
            <w:r w:rsidRPr="0094770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770B">
              <w:rPr>
                <w:rFonts w:ascii="Times New Roman" w:eastAsia="Times New Roman" w:hAnsi="Times New Roman" w:cs="Times New Roman"/>
              </w:rPr>
              <w:t>zaman ve itibar kaybı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3BAA" w14:textId="38BC5115" w:rsidR="00A57947" w:rsidRPr="001351A9" w:rsidRDefault="0094770B" w:rsidP="00947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770B">
              <w:rPr>
                <w:rFonts w:ascii="Times New Roman" w:eastAsia="Times New Roman" w:hAnsi="Times New Roman" w:cs="Times New Roman"/>
              </w:rPr>
              <w:t>Birime gelen tebligatların geliş tarihlerinin üzerine not edilerek, ilgili ve görevli personelin süreç hakkında bilgilendirilmesi ve yönlendirilmesi</w:t>
            </w:r>
          </w:p>
        </w:tc>
      </w:tr>
      <w:tr w:rsidR="00A57947" w:rsidRPr="001351A9" w14:paraId="7DAC4A5B" w14:textId="77777777" w:rsidTr="001C21AE">
        <w:trPr>
          <w:trHeight w:hRule="exact" w:val="142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5A17A" w14:textId="77777777" w:rsidR="00A57947" w:rsidRDefault="003F5C3D" w:rsidP="00A579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 w:rsidRPr="003F5C3D"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Avans İşlemleri</w:t>
            </w:r>
          </w:p>
          <w:p w14:paraId="1B4B45AC" w14:textId="24ACE54E" w:rsidR="001C21AE" w:rsidRPr="001351A9" w:rsidRDefault="001C21AE" w:rsidP="00A579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C9680" w14:textId="3F605944" w:rsidR="00A57947" w:rsidRPr="001351A9" w:rsidRDefault="003F5C3D" w:rsidP="00A579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</w:rPr>
              <w:t>Birim Personeli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67D20" w14:textId="0DDDCFD0" w:rsidR="00A57947" w:rsidRPr="001351A9" w:rsidRDefault="003F5C3D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3F5C3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Yüksek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AF92F" w14:textId="5C9E1C9B" w:rsidR="00A57947" w:rsidRPr="001351A9" w:rsidRDefault="0094770B" w:rsidP="00947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94770B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İdare hak ve menfaatlerinde kayıp,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 </w:t>
            </w:r>
            <w:r w:rsidRPr="0094770B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hukuki veya cezai sorumluluk, kamu zararı,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 </w:t>
            </w:r>
            <w:proofErr w:type="gramStart"/>
            <w:r w:rsidRPr="0094770B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güven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 </w:t>
            </w:r>
            <w:r w:rsidRPr="0094770B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,zaman</w:t>
            </w:r>
            <w:proofErr w:type="gramEnd"/>
            <w:r w:rsidRPr="0094770B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 ve itibar kaybı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A07F" w14:textId="5F708B60" w:rsidR="00A57947" w:rsidRDefault="0094770B" w:rsidP="00947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94770B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Avans işlemlerinin zamanında planlanması ve harcama evraklarının </w:t>
            </w:r>
            <w:r w:rsidR="00E82907" w:rsidRPr="0094770B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hazırlanması,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 </w:t>
            </w:r>
            <w:r w:rsidRPr="0094770B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imza sürecinin hızlandırılması, avans kapama işlem ve evraklarının zamanında hazırlanması ve süreçte görevli personelin bilgilendirilmesi ve yönlendirilmesi</w:t>
            </w:r>
          </w:p>
          <w:p w14:paraId="7B9FDBB5" w14:textId="77777777" w:rsidR="001C21AE" w:rsidRDefault="001C21AE" w:rsidP="00947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  <w:p w14:paraId="281661A2" w14:textId="1CBABDB6" w:rsidR="00D51984" w:rsidRPr="001351A9" w:rsidRDefault="00D51984" w:rsidP="00947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</w:tr>
      <w:tr w:rsidR="00A57947" w:rsidRPr="001351A9" w14:paraId="08602A77" w14:textId="77777777" w:rsidTr="001C21AE">
        <w:trPr>
          <w:trHeight w:hRule="exact" w:val="1277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D8256" w14:textId="5635FFA5" w:rsidR="00A57947" w:rsidRPr="001351A9" w:rsidRDefault="003F5C3D" w:rsidP="00A579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 w:rsidRPr="003F5C3D"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lastRenderedPageBreak/>
              <w:t>Ön İnceleme ve Soruşturma İşlemleri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E120D" w14:textId="6E4D5559" w:rsidR="00A57947" w:rsidRPr="001351A9" w:rsidRDefault="003F5C3D" w:rsidP="00A579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</w:rPr>
              <w:t>Birim Personeli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783BF" w14:textId="261B1FB3" w:rsidR="00A57947" w:rsidRPr="001351A9" w:rsidRDefault="003F5C3D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3F5C3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Yüksek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5F627" w14:textId="7B722BF1" w:rsidR="00A57947" w:rsidRPr="001351A9" w:rsidRDefault="00E82907" w:rsidP="00E82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E82907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Hukuki veya cezai sorumluluk, kamu </w:t>
            </w:r>
            <w:r w:rsidRPr="00E82907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zararı, kaynak</w:t>
            </w:r>
            <w:r w:rsidRPr="00E82907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 israfı, güven, zaman ve itibar kaybı, gizlilik ve kişisel verilerin güvenliğinde zafiyet.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FFBF" w14:textId="56A7F66D" w:rsidR="00A57947" w:rsidRPr="001351A9" w:rsidRDefault="00E82907" w:rsidP="00E82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E82907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Rektörlük Olur'u ile başlatılan ön inceleme/soruşturma işlemlerinin takibi ile sonuçlarının ilgili birimlere iletilmesi, süreçte görevli personelin bilgilendirilmesi ve yönlendirilmesi</w:t>
            </w:r>
          </w:p>
        </w:tc>
      </w:tr>
      <w:tr w:rsidR="00E82907" w:rsidRPr="001351A9" w14:paraId="78C832E0" w14:textId="77777777" w:rsidTr="001C21AE">
        <w:trPr>
          <w:trHeight w:hRule="exact" w:val="1277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D65FC" w14:textId="46B74712" w:rsidR="00E82907" w:rsidRPr="003F5C3D" w:rsidRDefault="00E82907" w:rsidP="00E829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 w:rsidRPr="00E82907"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Birim Faaliyet Raporunun Hazırlanması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E4731" w14:textId="1269C574" w:rsidR="00E82907" w:rsidRDefault="00E82907" w:rsidP="00E829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Birim Personeli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E0A0D" w14:textId="71371DE1" w:rsidR="00E82907" w:rsidRPr="003F5C3D" w:rsidRDefault="00E82907" w:rsidP="00E829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3F5C3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Yüksek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47A40" w14:textId="72D0636C" w:rsidR="00E82907" w:rsidRPr="00E82907" w:rsidRDefault="009016DD" w:rsidP="00E82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İdare adına şeffaflık ve hesap verilebilirliğin 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sağlanamaması, güven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 ve itibar kaybı.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C7CF" w14:textId="1CC2BCD4" w:rsidR="00E82907" w:rsidRPr="00E82907" w:rsidRDefault="009016DD" w:rsidP="00E82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Birim faaliyet raporunun hazırlanmasına yönelik bilgilerin tespiti, gerekli yazışmaların 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yapılması, raporun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 hazırlanması ve süreçte görevli personelin bilgilendirilmesi ve yönlendirilmesi</w:t>
            </w:r>
          </w:p>
        </w:tc>
      </w:tr>
      <w:tr w:rsidR="00E82907" w:rsidRPr="001351A9" w14:paraId="37E5A41B" w14:textId="77777777" w:rsidTr="001C21AE">
        <w:trPr>
          <w:trHeight w:hRule="exact" w:val="1277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0EFDF" w14:textId="3A82B370" w:rsidR="00E82907" w:rsidRPr="003F5C3D" w:rsidRDefault="00E82907" w:rsidP="00E829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 w:rsidRPr="00E82907"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Maaş İşlemleri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F2DF5" w14:textId="56FCE1B4" w:rsidR="00E82907" w:rsidRDefault="00E82907" w:rsidP="00E829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Birim Personeli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2D1DD" w14:textId="6A823F24" w:rsidR="00E82907" w:rsidRPr="003F5C3D" w:rsidRDefault="00E82907" w:rsidP="00E829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3F5C3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Yüksek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9FE88" w14:textId="08993682" w:rsidR="00E82907" w:rsidRPr="00E82907" w:rsidRDefault="009016DD" w:rsidP="00E82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İcra, nafaka ve kefalet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 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kesintilerinin takibin 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yapılmaması, değişen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 mevzuatlara uyum sağlanamaması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5989" w14:textId="5870B98D" w:rsidR="00E82907" w:rsidRPr="00E82907" w:rsidRDefault="00152458" w:rsidP="00E82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İcra, nafaka</w:t>
            </w:r>
            <w:r w:rsidR="009016DD"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 </w:t>
            </w:r>
            <w:r w:rsidR="009016DD"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vb.</w:t>
            </w:r>
            <w:r w:rsidR="009016DD"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 kesintilerinin düzenli takibinin yapılması, Maaş ile ilgili değişikliklerin KBS sistemleri üzerinden kontrol etmesi</w:t>
            </w:r>
          </w:p>
        </w:tc>
      </w:tr>
      <w:tr w:rsidR="00E82907" w:rsidRPr="001351A9" w14:paraId="56206F7F" w14:textId="77777777" w:rsidTr="001C21AE">
        <w:trPr>
          <w:trHeight w:hRule="exact" w:val="1277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ED8DF" w14:textId="36091C2B" w:rsidR="00E82907" w:rsidRPr="003F5C3D" w:rsidRDefault="00E82907" w:rsidP="00E829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 w:rsidRPr="00E82907"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SGK İşlemleri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2BA61" w14:textId="3E6B8F55" w:rsidR="00E82907" w:rsidRDefault="00E82907" w:rsidP="00E829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Birim Personeli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4ED23" w14:textId="01DBE0E0" w:rsidR="00E82907" w:rsidRPr="003F5C3D" w:rsidRDefault="00E82907" w:rsidP="00E829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3F5C3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Yüksek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A1FA6" w14:textId="42B6931C" w:rsidR="00E82907" w:rsidRPr="00E82907" w:rsidRDefault="009016DD" w:rsidP="00E82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Kesenek İşlemlerinin zamanında yapılmaması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E52A" w14:textId="2A6BFA6F" w:rsidR="00E82907" w:rsidRPr="00E82907" w:rsidRDefault="009016DD" w:rsidP="00E82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SGK pirim kesintilerinin süresinde yapılabilmesi için personel 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görevlendirilmesi, Kesenek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 verilerinin doğruluğunun kontrolünün sağlanması</w:t>
            </w:r>
          </w:p>
        </w:tc>
      </w:tr>
      <w:tr w:rsidR="00E82907" w:rsidRPr="001351A9" w14:paraId="6E59B0AD" w14:textId="77777777" w:rsidTr="001C21AE">
        <w:trPr>
          <w:trHeight w:hRule="exact" w:val="2857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3BADD" w14:textId="0A4947F7" w:rsidR="00E82907" w:rsidRPr="003F5C3D" w:rsidRDefault="00E82907" w:rsidP="00E829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 w:rsidRPr="00E82907"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Taşınır Kayıt Kontrol Yetkililiği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471B2" w14:textId="3F667AA8" w:rsidR="00E82907" w:rsidRDefault="00E82907" w:rsidP="00E829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Birim Personeli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AA975" w14:textId="6B4EA6F2" w:rsidR="00E82907" w:rsidRPr="003F5C3D" w:rsidRDefault="00E82907" w:rsidP="00E829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3F5C3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Yüksek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3C7A4" w14:textId="629371D8" w:rsidR="00E82907" w:rsidRPr="00E82907" w:rsidRDefault="009016DD" w:rsidP="00E82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Taşınırların 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teslim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 alınmaması, korunmasının sağlanamaması ve yerine zamanında teslim edilmesinin 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sağlanamaması, Taşınır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 kayıtların tutulması ve bunlara ilişkin belge ve cetvellerin zamanında düzenlenmemesi, Kamu zararının oluşmasına neden 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olma, Taşınırların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 kişilerin şahsi işlerinde kullanılması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CC20" w14:textId="7216A048" w:rsidR="00E82907" w:rsidRPr="00E82907" w:rsidRDefault="009016DD" w:rsidP="00901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Teslim alınan 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taşınırların korunmasının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 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sağlanması, Taşınır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 kayıtlarına ilişkin belge ve cetvellerin zamanında düzenlenmesinin 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sağlanması, Taşınırların</w:t>
            </w:r>
            <w:r w:rsidRPr="009016DD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 ilgililere zimmet fişi ile teslim edilmesi.</w:t>
            </w:r>
          </w:p>
        </w:tc>
      </w:tr>
    </w:tbl>
    <w:p w14:paraId="6C49D63E" w14:textId="37E248A6" w:rsidR="00A57947" w:rsidRPr="001351A9" w:rsidRDefault="001351A9" w:rsidP="00A57947">
      <w:pPr>
        <w:widowControl w:val="0"/>
        <w:spacing w:after="0" w:line="360" w:lineRule="atLeast"/>
        <w:ind w:left="709" w:right="656"/>
        <w:jc w:val="both"/>
        <w:rPr>
          <w:rFonts w:ascii="Times New Roman" w:eastAsia="‚l‚r –¾’©" w:hAnsi="Times New Roman" w:cs="Times New Roman"/>
          <w:i/>
          <w:iCs/>
          <w:lang w:val="en-US"/>
        </w:rPr>
      </w:pPr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 xml:space="preserve">* </w:t>
      </w:r>
      <w:proofErr w:type="spellStart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İhtiyaca</w:t>
      </w:r>
      <w:proofErr w:type="spellEnd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göre</w:t>
      </w:r>
      <w:proofErr w:type="spellEnd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tablo</w:t>
      </w:r>
      <w:proofErr w:type="spellEnd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sayısı</w:t>
      </w:r>
      <w:proofErr w:type="spellEnd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ve</w:t>
      </w:r>
      <w:proofErr w:type="spellEnd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uzunluğu</w:t>
      </w:r>
      <w:proofErr w:type="spellEnd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değiştirilebilir</w:t>
      </w:r>
      <w:proofErr w:type="spellEnd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.</w:t>
      </w:r>
    </w:p>
    <w:sectPr w:rsidR="00A57947" w:rsidRPr="001351A9" w:rsidSect="007320C5">
      <w:headerReference w:type="default" r:id="rId7"/>
      <w:footerReference w:type="default" r:id="rId8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ECC4" w14:textId="77777777" w:rsidR="00260373" w:rsidRDefault="00260373" w:rsidP="00FF08A6">
      <w:pPr>
        <w:spacing w:after="0" w:line="240" w:lineRule="auto"/>
      </w:pPr>
      <w:r>
        <w:separator/>
      </w:r>
    </w:p>
  </w:endnote>
  <w:endnote w:type="continuationSeparator" w:id="0">
    <w:p w14:paraId="34AB24CF" w14:textId="77777777" w:rsidR="00260373" w:rsidRDefault="0026037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2D61413B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28E5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BF301F0" w14:textId="77777777" w:rsidR="00151ABA" w:rsidRPr="00607331" w:rsidRDefault="00A5794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49E2B0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2E5996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D3A4FB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11211A0" w14:textId="77777777" w:rsidR="00D17E25" w:rsidRPr="00607331" w:rsidRDefault="00A5794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D3B0CA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71030C1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6E2F" w14:textId="77777777" w:rsidR="00260373" w:rsidRDefault="00260373" w:rsidP="00FF08A6">
      <w:pPr>
        <w:spacing w:after="0" w:line="240" w:lineRule="auto"/>
      </w:pPr>
      <w:r>
        <w:separator/>
      </w:r>
    </w:p>
  </w:footnote>
  <w:footnote w:type="continuationSeparator" w:id="0">
    <w:p w14:paraId="52F8BF8F" w14:textId="77777777" w:rsidR="00260373" w:rsidRDefault="0026037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084D31BD" w14:textId="77777777" w:rsidTr="00BD5C1E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25760DD4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EE403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8946822" r:id="rId2"/>
            </w:object>
          </w:r>
        </w:p>
      </w:tc>
      <w:tc>
        <w:tcPr>
          <w:tcW w:w="8845" w:type="dxa"/>
          <w:vMerge w:val="restart"/>
          <w:vAlign w:val="center"/>
        </w:tcPr>
        <w:p w14:paraId="3CFD4E90" w14:textId="4B48C15E" w:rsidR="00FF08A6" w:rsidRPr="003528CF" w:rsidRDefault="009016DD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HUKUK MÜŞAVİRLİĞİ </w:t>
          </w:r>
          <w:r w:rsidR="000F6837" w:rsidRPr="000F6837">
            <w:rPr>
              <w:rFonts w:ascii="Times New Roman" w:eastAsia="Times New Roman" w:hAnsi="Times New Roman" w:cs="Times New Roman"/>
              <w:b/>
            </w:rPr>
            <w:t>HASSAS GÖREV FORMU</w:t>
          </w:r>
        </w:p>
      </w:tc>
      <w:tc>
        <w:tcPr>
          <w:tcW w:w="1984" w:type="dxa"/>
          <w:vAlign w:val="center"/>
        </w:tcPr>
        <w:p w14:paraId="5CBBCE44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2BE4EC62" w14:textId="44738C7A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1351A9">
            <w:rPr>
              <w:rFonts w:ascii="Times New Roman" w:eastAsia="Times New Roman" w:hAnsi="Times New Roman" w:cs="Times New Roman"/>
            </w:rPr>
            <w:t>265</w:t>
          </w:r>
        </w:p>
      </w:tc>
    </w:tr>
    <w:tr w:rsidR="003528CF" w:rsidRPr="003528CF" w14:paraId="4EA37E3A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1479D3B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0BCB65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2AC797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2DBD34E8" w14:textId="1256C2BC" w:rsidR="00FF08A6" w:rsidRPr="003528CF" w:rsidRDefault="00812715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</w:t>
          </w:r>
          <w:r w:rsidR="00A57947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4C78DEDA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712E4EA9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88C9033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384B018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74647211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E680F8D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40A219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3B79A3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5A4DDB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30DAA13B" w14:textId="77777777" w:rsidR="00FF08A6" w:rsidRPr="003528CF" w:rsidRDefault="00A57947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B970C2B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9297A2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73EF8AA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5D65FD5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6C27528E" w14:textId="7FF9AD94" w:rsidR="00FF08A6" w:rsidRPr="003528CF" w:rsidRDefault="007B486D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812715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1351A9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2CBAADC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51E7E"/>
    <w:rsid w:val="000F6837"/>
    <w:rsid w:val="001351A9"/>
    <w:rsid w:val="00151ABA"/>
    <w:rsid w:val="00152458"/>
    <w:rsid w:val="001C21AE"/>
    <w:rsid w:val="00260373"/>
    <w:rsid w:val="002754A0"/>
    <w:rsid w:val="002E5890"/>
    <w:rsid w:val="00336BDC"/>
    <w:rsid w:val="003528CF"/>
    <w:rsid w:val="00367FFC"/>
    <w:rsid w:val="003D0F6C"/>
    <w:rsid w:val="003F5C3D"/>
    <w:rsid w:val="004060A6"/>
    <w:rsid w:val="00411010"/>
    <w:rsid w:val="0048082B"/>
    <w:rsid w:val="005433B4"/>
    <w:rsid w:val="00554A93"/>
    <w:rsid w:val="005761A9"/>
    <w:rsid w:val="00586215"/>
    <w:rsid w:val="005B4F2E"/>
    <w:rsid w:val="005D64C9"/>
    <w:rsid w:val="00607331"/>
    <w:rsid w:val="006167D9"/>
    <w:rsid w:val="006678E4"/>
    <w:rsid w:val="00674E66"/>
    <w:rsid w:val="0068274F"/>
    <w:rsid w:val="006D67AC"/>
    <w:rsid w:val="006F069E"/>
    <w:rsid w:val="007320C5"/>
    <w:rsid w:val="007B486D"/>
    <w:rsid w:val="00812715"/>
    <w:rsid w:val="0083479D"/>
    <w:rsid w:val="00885800"/>
    <w:rsid w:val="008E3FF8"/>
    <w:rsid w:val="009016DD"/>
    <w:rsid w:val="0094770B"/>
    <w:rsid w:val="00992420"/>
    <w:rsid w:val="00A33119"/>
    <w:rsid w:val="00A4726D"/>
    <w:rsid w:val="00A57947"/>
    <w:rsid w:val="00AC62D1"/>
    <w:rsid w:val="00AE474E"/>
    <w:rsid w:val="00B63D44"/>
    <w:rsid w:val="00B8166F"/>
    <w:rsid w:val="00BD2C6B"/>
    <w:rsid w:val="00BD5C1E"/>
    <w:rsid w:val="00BE7121"/>
    <w:rsid w:val="00BF12CD"/>
    <w:rsid w:val="00D16C4B"/>
    <w:rsid w:val="00D17E25"/>
    <w:rsid w:val="00D51984"/>
    <w:rsid w:val="00D95BE5"/>
    <w:rsid w:val="00E173F1"/>
    <w:rsid w:val="00E25097"/>
    <w:rsid w:val="00E8290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69A7C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ListeParagraf">
    <w:name w:val="List Paragraph"/>
    <w:basedOn w:val="Normal"/>
    <w:uiPriority w:val="34"/>
    <w:qFormat/>
    <w:rsid w:val="0013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A0D8-36B4-49D3-9339-56193E9F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5</cp:revision>
  <dcterms:created xsi:type="dcterms:W3CDTF">2022-03-16T11:15:00Z</dcterms:created>
  <dcterms:modified xsi:type="dcterms:W3CDTF">2022-03-16T11:41:00Z</dcterms:modified>
</cp:coreProperties>
</file>